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8D287" w14:textId="406D5670" w:rsidR="00D213AB" w:rsidRPr="00D57D2E" w:rsidRDefault="00D213AB" w:rsidP="00D213AB">
      <w:pPr>
        <w:pStyle w:val="Paragrafoelenco"/>
        <w:numPr>
          <w:ilvl w:val="0"/>
          <w:numId w:val="19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D57D2E">
        <w:rPr>
          <w:rFonts w:asciiTheme="minorHAnsi" w:hAnsiTheme="minorHAnsi" w:cstheme="minorHAnsi"/>
          <w:b/>
          <w:bCs/>
          <w:kern w:val="36"/>
          <w:sz w:val="48"/>
          <w:szCs w:val="48"/>
        </w:rPr>
        <w:t>PGT</w:t>
      </w:r>
      <w:r w:rsidRPr="00F0553A">
        <w:rPr>
          <w:rFonts w:asciiTheme="minorHAnsi" w:hAnsiTheme="minorHAnsi" w:cstheme="minorHAnsi"/>
          <w:sz w:val="24"/>
          <w:szCs w:val="24"/>
        </w:rPr>
        <w:fldChar w:fldCharType="begin"/>
      </w:r>
      <w:r w:rsidRPr="00D57D2E">
        <w:rPr>
          <w:rFonts w:asciiTheme="minorHAnsi" w:hAnsiTheme="minorHAnsi" w:cstheme="minorHAnsi"/>
          <w:sz w:val="24"/>
          <w:szCs w:val="24"/>
        </w:rPr>
        <w:instrText>HYPERLINK "https://www.comune.monza.it/it/topics/43"</w:instrText>
      </w:r>
      <w:r w:rsidRPr="00F0553A">
        <w:rPr>
          <w:rFonts w:asciiTheme="minorHAnsi" w:hAnsiTheme="minorHAnsi" w:cstheme="minorHAnsi"/>
          <w:sz w:val="24"/>
          <w:szCs w:val="24"/>
        </w:rPr>
      </w:r>
      <w:r w:rsidRPr="00F0553A">
        <w:rPr>
          <w:rFonts w:asciiTheme="minorHAnsi" w:hAnsiTheme="minorHAnsi" w:cstheme="minorHAnsi"/>
          <w:sz w:val="24"/>
          <w:szCs w:val="24"/>
        </w:rPr>
        <w:fldChar w:fldCharType="separate"/>
      </w:r>
    </w:p>
    <w:p w14:paraId="2AEA6BCD" w14:textId="646B0AA6" w:rsidR="00BE2D5F" w:rsidRPr="00F0553A" w:rsidRDefault="00D213AB" w:rsidP="000532A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0553A">
        <w:rPr>
          <w:rFonts w:asciiTheme="minorHAnsi" w:hAnsiTheme="minorHAnsi" w:cstheme="minorHAnsi"/>
          <w:sz w:val="24"/>
          <w:szCs w:val="24"/>
        </w:rPr>
        <w:fldChar w:fldCharType="end"/>
      </w:r>
      <w:r w:rsidR="000532AA" w:rsidRPr="001E79BB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BE2D5F" w:rsidRPr="001E79BB">
        <w:rPr>
          <w:rFonts w:asciiTheme="minorHAnsi" w:hAnsiTheme="minorHAnsi" w:cstheme="minorHAnsi"/>
          <w:b/>
          <w:bCs/>
          <w:sz w:val="24"/>
          <w:szCs w:val="24"/>
        </w:rPr>
        <w:t>l PGT</w:t>
      </w:r>
      <w:r w:rsidR="00BE2D5F" w:rsidRPr="00F0553A">
        <w:rPr>
          <w:rFonts w:asciiTheme="minorHAnsi" w:hAnsiTheme="minorHAnsi" w:cstheme="minorHAnsi"/>
          <w:sz w:val="24"/>
          <w:szCs w:val="24"/>
        </w:rPr>
        <w:t xml:space="preserve"> è il nuovo strumento di pianificazione urbanistica comunale, introdotto dalla Legge Regionale 12/2005 al posto del tradizionale Piano Regolatore Generale (PRG). Si articola in tre componenti fondamentali:</w:t>
      </w:r>
    </w:p>
    <w:p w14:paraId="7E3668C4" w14:textId="77777777" w:rsidR="00BE2D5F" w:rsidRPr="00F0553A" w:rsidRDefault="00BE2D5F" w:rsidP="000532A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0553A">
        <w:rPr>
          <w:rFonts w:asciiTheme="minorHAnsi" w:hAnsiTheme="minorHAnsi" w:cstheme="minorHAnsi"/>
          <w:b/>
          <w:bCs/>
          <w:sz w:val="24"/>
          <w:szCs w:val="24"/>
        </w:rPr>
        <w:t>Documento di Piano</w:t>
      </w:r>
      <w:r w:rsidRPr="00F0553A">
        <w:rPr>
          <w:rFonts w:asciiTheme="minorHAnsi" w:hAnsiTheme="minorHAnsi" w:cstheme="minorHAnsi"/>
          <w:sz w:val="24"/>
          <w:szCs w:val="24"/>
        </w:rPr>
        <w:t>, che identifica gli obiettivi ed esprime le strategie che servono a perseguire lo sviluppo economico e sociale, nell'ottica di una valorizzazione delle risorse ambientali, paesaggistiche e culturali. Ha validità quinquennale, e non ha effetti sul regime giuridico dei suoli.</w:t>
      </w:r>
    </w:p>
    <w:p w14:paraId="085E2A7B" w14:textId="77777777" w:rsidR="00BE2D5F" w:rsidRPr="00F0553A" w:rsidRDefault="00BE2D5F" w:rsidP="000532A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0553A">
        <w:rPr>
          <w:rFonts w:asciiTheme="minorHAnsi" w:hAnsiTheme="minorHAnsi" w:cstheme="minorHAnsi"/>
          <w:b/>
          <w:bCs/>
          <w:sz w:val="24"/>
          <w:szCs w:val="24"/>
        </w:rPr>
        <w:t xml:space="preserve">Piano dei Servizi, </w:t>
      </w:r>
      <w:r w:rsidRPr="00F0553A">
        <w:rPr>
          <w:rFonts w:asciiTheme="minorHAnsi" w:hAnsiTheme="minorHAnsi" w:cstheme="minorHAnsi"/>
          <w:sz w:val="24"/>
          <w:szCs w:val="24"/>
        </w:rPr>
        <w:t>lo strumento per armonizzare gli insediamenti con il sistema dei servizi, per garantire la vivibilità e la qualità urbana della comunità locale, secondo un disegno di razionale distribuzione dei servizi per qualità, fruibilità e accessibilità. Non ha termini di validità, ed ha effetti sul regime giuridico dei suoli.</w:t>
      </w:r>
    </w:p>
    <w:p w14:paraId="772F84EC" w14:textId="77777777" w:rsidR="00D57D2E" w:rsidRDefault="00BE2D5F" w:rsidP="00D57D2E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0553A">
        <w:rPr>
          <w:rFonts w:asciiTheme="minorHAnsi" w:hAnsiTheme="minorHAnsi" w:cstheme="minorHAnsi"/>
          <w:b/>
          <w:bCs/>
          <w:sz w:val="24"/>
          <w:szCs w:val="24"/>
        </w:rPr>
        <w:t xml:space="preserve">Piano delle Regole, </w:t>
      </w:r>
      <w:r w:rsidRPr="00F0553A">
        <w:rPr>
          <w:rFonts w:asciiTheme="minorHAnsi" w:hAnsiTheme="minorHAnsi" w:cstheme="minorHAnsi"/>
          <w:sz w:val="24"/>
          <w:szCs w:val="24"/>
        </w:rPr>
        <w:t>lo strumento di controllo della qualità urbana e territoriale che disciplina l'intero territorio comunale, ad esclusione degli ambiti di trasformazione di espansione (individuati dal Documento di Piano e posti in esecuzione mediante piani attuativi) Serve a dare un disegno coerente della pianificazione sotto l'aspetto insediativo, tipologico e morfologico nonché a migliorare la qualità paesaggistica dell'insieme. In tale contesto disciplina le aree e gli edifici destinati a servizi per garantire l'integrazione tra le componenti del tessuto edificato, nonché di queste con il territorio rurale. Non ha termini di validità, ed ha effetti sul regime giuridico dei suoli.</w:t>
      </w:r>
      <w:bookmarkStart w:id="0" w:name="_Hlk214454989"/>
    </w:p>
    <w:p w14:paraId="212D4DB4" w14:textId="77777777" w:rsidR="004C76E3" w:rsidRDefault="004C76E3" w:rsidP="004C76E3">
      <w:p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2C546C63" w14:textId="3A1FF610" w:rsidR="000532AA" w:rsidRPr="00D213AB" w:rsidRDefault="000532AA" w:rsidP="004C76E3">
      <w:pPr>
        <w:pStyle w:val="Paragrafoelenco"/>
        <w:numPr>
          <w:ilvl w:val="0"/>
          <w:numId w:val="20"/>
        </w:numPr>
        <w:spacing w:before="100" w:beforeAutospacing="1" w:after="100" w:afterAutospacing="1"/>
        <w:ind w:left="426" w:hanging="426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 w:rsidRPr="00D213AB">
        <w:rPr>
          <w:rFonts w:asciiTheme="minorHAnsi" w:hAnsiTheme="minorHAnsi" w:cstheme="minorHAnsi"/>
          <w:b/>
          <w:bCs/>
          <w:kern w:val="36"/>
          <w:sz w:val="36"/>
          <w:szCs w:val="36"/>
        </w:rPr>
        <w:t xml:space="preserve">PGT </w:t>
      </w:r>
      <w:bookmarkEnd w:id="0"/>
      <w:r w:rsidRPr="00D213AB">
        <w:rPr>
          <w:rFonts w:asciiTheme="minorHAnsi" w:hAnsiTheme="minorHAnsi" w:cstheme="minorHAnsi"/>
          <w:b/>
          <w:bCs/>
          <w:kern w:val="36"/>
          <w:sz w:val="36"/>
          <w:szCs w:val="36"/>
        </w:rPr>
        <w:t xml:space="preserve">vigente </w:t>
      </w:r>
      <w:r w:rsidRPr="00F0553A">
        <w:rPr>
          <w:rFonts w:asciiTheme="minorHAnsi" w:hAnsiTheme="minorHAnsi" w:cstheme="minorHAnsi"/>
          <w:b/>
          <w:bCs/>
          <w:kern w:val="36"/>
          <w:sz w:val="36"/>
          <w:szCs w:val="36"/>
        </w:rPr>
        <w:fldChar w:fldCharType="begin"/>
      </w:r>
      <w:r w:rsidRPr="00D213AB">
        <w:rPr>
          <w:rFonts w:asciiTheme="minorHAnsi" w:hAnsiTheme="minorHAnsi" w:cstheme="minorHAnsi"/>
          <w:b/>
          <w:bCs/>
          <w:kern w:val="36"/>
          <w:sz w:val="36"/>
          <w:szCs w:val="36"/>
        </w:rPr>
        <w:instrText>HYPERLINK "https://www.comune.monza.it/it/topics/43"</w:instrText>
      </w:r>
      <w:r w:rsidRPr="00F0553A">
        <w:rPr>
          <w:rFonts w:asciiTheme="minorHAnsi" w:hAnsiTheme="minorHAnsi" w:cstheme="minorHAnsi"/>
          <w:b/>
          <w:bCs/>
          <w:kern w:val="36"/>
          <w:sz w:val="36"/>
          <w:szCs w:val="36"/>
        </w:rPr>
      </w:r>
      <w:r w:rsidRPr="00F0553A">
        <w:rPr>
          <w:rFonts w:asciiTheme="minorHAnsi" w:hAnsiTheme="minorHAnsi" w:cstheme="minorHAnsi"/>
          <w:b/>
          <w:bCs/>
          <w:kern w:val="36"/>
          <w:sz w:val="36"/>
          <w:szCs w:val="36"/>
        </w:rPr>
        <w:fldChar w:fldCharType="separate"/>
      </w:r>
    </w:p>
    <w:p w14:paraId="1A4B7134" w14:textId="13A1E1D6" w:rsidR="00F0553A" w:rsidRPr="00F0553A" w:rsidRDefault="000532AA" w:rsidP="00F0553A">
      <w:pPr>
        <w:jc w:val="both"/>
        <w:rPr>
          <w:rFonts w:asciiTheme="minorHAnsi" w:hAnsiTheme="minorHAnsi" w:cstheme="minorHAnsi"/>
          <w:sz w:val="24"/>
          <w:szCs w:val="24"/>
        </w:rPr>
      </w:pPr>
      <w:r w:rsidRPr="00F0553A">
        <w:rPr>
          <w:rFonts w:asciiTheme="minorHAnsi" w:hAnsiTheme="minorHAnsi" w:cstheme="minorHAnsi"/>
          <w:sz w:val="24"/>
          <w:szCs w:val="24"/>
        </w:rPr>
        <w:fldChar w:fldCharType="end"/>
      </w:r>
      <w:r w:rsidRPr="00F0553A">
        <w:rPr>
          <w:rFonts w:asciiTheme="minorHAnsi" w:hAnsiTheme="minorHAnsi" w:cstheme="minorHAnsi"/>
          <w:sz w:val="24"/>
          <w:szCs w:val="24"/>
        </w:rPr>
        <w:t xml:space="preserve">Il Comune di </w:t>
      </w:r>
      <w:r w:rsidR="00F0553A" w:rsidRPr="00F0553A">
        <w:rPr>
          <w:rFonts w:asciiTheme="minorHAnsi" w:hAnsiTheme="minorHAnsi" w:cstheme="minorHAnsi"/>
          <w:sz w:val="24"/>
          <w:szCs w:val="24"/>
        </w:rPr>
        <w:t xml:space="preserve">Brugherio </w:t>
      </w:r>
      <w:r w:rsidRPr="00F0553A">
        <w:rPr>
          <w:rFonts w:asciiTheme="minorHAnsi" w:hAnsiTheme="minorHAnsi" w:cstheme="minorHAnsi"/>
          <w:sz w:val="24"/>
          <w:szCs w:val="24"/>
        </w:rPr>
        <w:t xml:space="preserve">è dotato di un Piano di Governo del Territorio approvato con deliberazione di Consiglio Comunale </w:t>
      </w:r>
      <w:r w:rsidR="00F0553A" w:rsidRPr="00F0553A">
        <w:rPr>
          <w:rFonts w:asciiTheme="minorHAnsi" w:hAnsiTheme="minorHAnsi" w:cstheme="minorHAnsi"/>
          <w:sz w:val="24"/>
          <w:szCs w:val="24"/>
        </w:rPr>
        <w:t>n. 52 del 9.06.2016 “ VARIANTE GENERALE AL VIGENTE PIANO DI GOVERNO DEL TERRITORIO - PGT = ESAME CONTRODEDUZIONI ED APPROVAZIONE DEFINITIVA” ed entrato in vigore a seguito della pubblicazione dell'avviso di approvazione sul BURL Serie Avvisi e Concorsi n. 37 del 14 settembre 2016.</w:t>
      </w:r>
    </w:p>
    <w:p w14:paraId="4B00A09B" w14:textId="7B395482" w:rsidR="00F0553A" w:rsidRPr="00A73749" w:rsidRDefault="005F7170" w:rsidP="000532A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73749">
        <w:rPr>
          <w:rFonts w:asciiTheme="minorHAnsi" w:hAnsiTheme="minorHAnsi" w:cstheme="minorHAnsi"/>
          <w:sz w:val="24"/>
          <w:szCs w:val="24"/>
          <w:u w:val="single"/>
        </w:rPr>
        <w:t>Deliberazione di Consiglio Comunale n. 52 del 09/06/2016 - approvazione PGT</w:t>
      </w:r>
    </w:p>
    <w:p w14:paraId="72ADCB90" w14:textId="0C3C220C" w:rsidR="000532AA" w:rsidRPr="00F0553A" w:rsidRDefault="000532AA" w:rsidP="000532A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0553A">
        <w:rPr>
          <w:rFonts w:asciiTheme="minorHAnsi" w:hAnsiTheme="minorHAnsi" w:cstheme="minorHAnsi"/>
          <w:sz w:val="24"/>
          <w:szCs w:val="24"/>
        </w:rPr>
        <w:t>Il PGT approvato nel 201</w:t>
      </w:r>
      <w:r w:rsidR="00F0553A" w:rsidRPr="00F0553A">
        <w:rPr>
          <w:rFonts w:asciiTheme="minorHAnsi" w:hAnsiTheme="minorHAnsi" w:cstheme="minorHAnsi"/>
          <w:sz w:val="24"/>
          <w:szCs w:val="24"/>
        </w:rPr>
        <w:t>6</w:t>
      </w:r>
      <w:r w:rsidRPr="00F0553A">
        <w:rPr>
          <w:rFonts w:asciiTheme="minorHAnsi" w:hAnsiTheme="minorHAnsi" w:cstheme="minorHAnsi"/>
          <w:sz w:val="24"/>
          <w:szCs w:val="24"/>
        </w:rPr>
        <w:t xml:space="preserve"> è stato successivamente variato e/o modificato con i seguenti provvedimenti:</w:t>
      </w:r>
    </w:p>
    <w:p w14:paraId="1067486E" w14:textId="3CF8120D" w:rsidR="000532AA" w:rsidRPr="005F7170" w:rsidRDefault="000532AA" w:rsidP="005F717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0553A">
        <w:rPr>
          <w:rFonts w:asciiTheme="minorHAnsi" w:hAnsiTheme="minorHAnsi" w:cstheme="minorHAnsi"/>
          <w:sz w:val="24"/>
          <w:szCs w:val="24"/>
        </w:rPr>
        <w:t xml:space="preserve">Variante </w:t>
      </w:r>
      <w:r w:rsidR="005F7170">
        <w:rPr>
          <w:rFonts w:asciiTheme="minorHAnsi" w:hAnsiTheme="minorHAnsi" w:cstheme="minorHAnsi"/>
          <w:sz w:val="24"/>
          <w:szCs w:val="24"/>
        </w:rPr>
        <w:t>di adeguamento al Documento di Piano per esigenze sopraggiunte in sede di applicazione dello strumento urbanistico vigente (PGT) approvata con Deliberazione di Giunta comunale n. 114 del 17</w:t>
      </w:r>
      <w:r w:rsidRPr="00F0553A">
        <w:rPr>
          <w:rFonts w:asciiTheme="minorHAnsi" w:hAnsiTheme="minorHAnsi" w:cstheme="minorHAnsi"/>
          <w:sz w:val="24"/>
          <w:szCs w:val="24"/>
        </w:rPr>
        <w:t>/05/2018</w:t>
      </w:r>
      <w:r w:rsidR="005F7170">
        <w:rPr>
          <w:rFonts w:asciiTheme="minorHAnsi" w:hAnsiTheme="minorHAnsi" w:cstheme="minorHAnsi"/>
          <w:sz w:val="24"/>
          <w:szCs w:val="24"/>
        </w:rPr>
        <w:t>.  G</w:t>
      </w:r>
      <w:r w:rsidRPr="005F7170">
        <w:rPr>
          <w:rFonts w:asciiTheme="minorHAnsi" w:hAnsiTheme="minorHAnsi" w:cstheme="minorHAnsi"/>
          <w:sz w:val="24"/>
          <w:szCs w:val="24"/>
        </w:rPr>
        <w:t>li elaborati modificati dall'approvazione della presente variante sono indicati con "</w:t>
      </w:r>
      <w:r w:rsidR="005F7170">
        <w:rPr>
          <w:rFonts w:asciiTheme="minorHAnsi" w:hAnsiTheme="minorHAnsi" w:cstheme="minorHAnsi"/>
          <w:sz w:val="24"/>
          <w:szCs w:val="24"/>
        </w:rPr>
        <w:t>Var parz 2018</w:t>
      </w:r>
      <w:r w:rsidRPr="005F7170">
        <w:rPr>
          <w:rFonts w:asciiTheme="minorHAnsi" w:hAnsiTheme="minorHAnsi" w:cstheme="minorHAnsi"/>
          <w:sz w:val="24"/>
          <w:szCs w:val="24"/>
        </w:rPr>
        <w:t>"</w:t>
      </w:r>
      <w:r w:rsidR="00063E4F">
        <w:rPr>
          <w:rFonts w:asciiTheme="minorHAnsi" w:hAnsiTheme="minorHAnsi" w:cstheme="minorHAnsi"/>
          <w:sz w:val="24"/>
          <w:szCs w:val="24"/>
        </w:rPr>
        <w:t>;</w:t>
      </w:r>
    </w:p>
    <w:p w14:paraId="58D46F09" w14:textId="13F85260" w:rsidR="005F7170" w:rsidRDefault="005F7170" w:rsidP="005701A6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5F7170">
        <w:rPr>
          <w:rFonts w:asciiTheme="minorHAnsi" w:hAnsiTheme="minorHAnsi" w:cstheme="minorHAnsi"/>
          <w:sz w:val="24"/>
          <w:szCs w:val="24"/>
        </w:rPr>
        <w:t>Correzione di errore materiale e rettifica degli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F7170">
        <w:rPr>
          <w:rFonts w:asciiTheme="minorHAnsi" w:hAnsiTheme="minorHAnsi" w:cstheme="minorHAnsi"/>
          <w:sz w:val="24"/>
          <w:szCs w:val="24"/>
        </w:rPr>
        <w:t>atti</w:t>
      </w:r>
      <w:r>
        <w:rPr>
          <w:rFonts w:asciiTheme="minorHAnsi" w:hAnsiTheme="minorHAnsi" w:cstheme="minorHAnsi"/>
          <w:sz w:val="24"/>
          <w:szCs w:val="24"/>
        </w:rPr>
        <w:t xml:space="preserve"> di </w:t>
      </w:r>
      <w:r w:rsidRPr="005F7170">
        <w:rPr>
          <w:rFonts w:asciiTheme="minorHAnsi" w:hAnsiTheme="minorHAnsi" w:cstheme="minorHAnsi"/>
          <w:sz w:val="24"/>
          <w:szCs w:val="24"/>
        </w:rPr>
        <w:t xml:space="preserve">P.G.T. </w:t>
      </w:r>
      <w:r>
        <w:rPr>
          <w:rFonts w:asciiTheme="minorHAnsi" w:hAnsiTheme="minorHAnsi" w:cstheme="minorHAnsi"/>
          <w:sz w:val="24"/>
          <w:szCs w:val="24"/>
        </w:rPr>
        <w:t>in merito alla classificazione dell’intervento delle aree poste in via Andreani di proprietà della società GEB srl</w:t>
      </w:r>
      <w:r w:rsidR="00063E4F">
        <w:rPr>
          <w:rFonts w:asciiTheme="minorHAnsi" w:hAnsiTheme="minorHAnsi" w:cstheme="minorHAnsi"/>
          <w:sz w:val="24"/>
          <w:szCs w:val="24"/>
        </w:rPr>
        <w:t>. approvata con Deliberazione di Giunta comunale n. 92 del 07</w:t>
      </w:r>
      <w:r w:rsidR="00063E4F" w:rsidRPr="00F0553A">
        <w:rPr>
          <w:rFonts w:asciiTheme="minorHAnsi" w:hAnsiTheme="minorHAnsi" w:cstheme="minorHAnsi"/>
          <w:sz w:val="24"/>
          <w:szCs w:val="24"/>
        </w:rPr>
        <w:t>/</w:t>
      </w:r>
      <w:r w:rsidR="00063E4F">
        <w:rPr>
          <w:rFonts w:asciiTheme="minorHAnsi" w:hAnsiTheme="minorHAnsi" w:cstheme="minorHAnsi"/>
          <w:sz w:val="24"/>
          <w:szCs w:val="24"/>
        </w:rPr>
        <w:t>1</w:t>
      </w:r>
      <w:r w:rsidR="00063E4F" w:rsidRPr="00F0553A">
        <w:rPr>
          <w:rFonts w:asciiTheme="minorHAnsi" w:hAnsiTheme="minorHAnsi" w:cstheme="minorHAnsi"/>
          <w:sz w:val="24"/>
          <w:szCs w:val="24"/>
        </w:rPr>
        <w:t>0/20</w:t>
      </w:r>
      <w:r w:rsidR="00063E4F">
        <w:rPr>
          <w:rFonts w:asciiTheme="minorHAnsi" w:hAnsiTheme="minorHAnsi" w:cstheme="minorHAnsi"/>
          <w:sz w:val="24"/>
          <w:szCs w:val="24"/>
        </w:rPr>
        <w:t>21.Gli elaborati modificati sono stati a loro volta sostituiti dal successivo provvedimento;</w:t>
      </w:r>
    </w:p>
    <w:p w14:paraId="0C8AF13D" w14:textId="0E7033FA" w:rsidR="00063E4F" w:rsidRPr="005F7170" w:rsidRDefault="00063E4F" w:rsidP="00063E4F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063E4F">
        <w:rPr>
          <w:rFonts w:asciiTheme="minorHAnsi" w:hAnsiTheme="minorHAnsi" w:cstheme="minorHAnsi"/>
          <w:sz w:val="24"/>
          <w:szCs w:val="24"/>
        </w:rPr>
        <w:lastRenderedPageBreak/>
        <w:t xml:space="preserve">Correzione di errori materiali rilevati nel Paino di Governo del Territorio (PGT) approvata con Deliberazione di Giunta comunale n. 56 del 28/06/2022. </w:t>
      </w:r>
      <w:r>
        <w:rPr>
          <w:rFonts w:asciiTheme="minorHAnsi" w:hAnsiTheme="minorHAnsi" w:cstheme="minorHAnsi"/>
          <w:sz w:val="24"/>
          <w:szCs w:val="24"/>
        </w:rPr>
        <w:t>G</w:t>
      </w:r>
      <w:r w:rsidRPr="005F7170">
        <w:rPr>
          <w:rFonts w:asciiTheme="minorHAnsi" w:hAnsiTheme="minorHAnsi" w:cstheme="minorHAnsi"/>
          <w:sz w:val="24"/>
          <w:szCs w:val="24"/>
        </w:rPr>
        <w:t>li elaborati modificati sono indicati con "</w:t>
      </w:r>
      <w:r w:rsidRPr="00063E4F">
        <w:t xml:space="preserve"> </w:t>
      </w:r>
      <w:r w:rsidRPr="00063E4F">
        <w:rPr>
          <w:rFonts w:asciiTheme="minorHAnsi" w:hAnsiTheme="minorHAnsi" w:cstheme="minorHAnsi"/>
          <w:sz w:val="24"/>
          <w:szCs w:val="24"/>
        </w:rPr>
        <w:t>Corr Err Mat_Nov2022</w:t>
      </w:r>
      <w:r w:rsidRPr="005F7170">
        <w:rPr>
          <w:rFonts w:asciiTheme="minorHAnsi" w:hAnsiTheme="minorHAnsi" w:cstheme="minorHAnsi"/>
          <w:sz w:val="24"/>
          <w:szCs w:val="24"/>
        </w:rPr>
        <w:t>"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4BFB56C2" w14:textId="49556995" w:rsidR="00063E4F" w:rsidRPr="00063E4F" w:rsidRDefault="00063E4F" w:rsidP="00063E4F">
      <w:p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433F6FE" w14:textId="77777777" w:rsidR="00063E4F" w:rsidRPr="005F7170" w:rsidRDefault="00063E4F" w:rsidP="00063E4F">
      <w:pPr>
        <w:spacing w:before="100" w:beforeAutospacing="1" w:after="100" w:afterAutospacing="1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129BB8A" w14:textId="77777777" w:rsidR="009A7200" w:rsidRDefault="009A7200" w:rsidP="004C76E3">
      <w:pPr>
        <w:pStyle w:val="Paragrafoelenco"/>
        <w:numPr>
          <w:ilvl w:val="0"/>
          <w:numId w:val="22"/>
        </w:numPr>
        <w:spacing w:before="100" w:beforeAutospacing="1" w:after="100" w:afterAutospacing="1"/>
        <w:ind w:left="567" w:hanging="567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>
        <w:rPr>
          <w:rFonts w:asciiTheme="minorHAnsi" w:hAnsiTheme="minorHAnsi" w:cstheme="minorHAnsi"/>
          <w:b/>
          <w:bCs/>
          <w:kern w:val="36"/>
          <w:sz w:val="36"/>
          <w:szCs w:val="36"/>
        </w:rPr>
        <w:t xml:space="preserve">Elaborati PGT Vigente </w:t>
      </w:r>
    </w:p>
    <w:p w14:paraId="4925B35D" w14:textId="33F5A0E2" w:rsidR="002025F5" w:rsidRPr="009A7200" w:rsidRDefault="002025F5" w:rsidP="002025F5">
      <w:pPr>
        <w:spacing w:before="100" w:beforeAutospacing="1" w:after="100" w:afterAutospacing="1"/>
        <w:jc w:val="both"/>
        <w:outlineLvl w:val="4"/>
        <w:rPr>
          <w:rFonts w:asciiTheme="minorHAnsi" w:hAnsiTheme="minorHAnsi" w:cstheme="minorHAnsi"/>
          <w:kern w:val="36"/>
          <w:sz w:val="24"/>
          <w:szCs w:val="24"/>
        </w:rPr>
      </w:pPr>
      <w:r w:rsidRPr="009A7200">
        <w:rPr>
          <w:rFonts w:asciiTheme="minorHAnsi" w:hAnsiTheme="minorHAnsi" w:cstheme="minorHAnsi"/>
          <w:kern w:val="36"/>
          <w:sz w:val="24"/>
          <w:szCs w:val="24"/>
        </w:rPr>
        <w:t>Di seguito sono pubblicati tutti gli atti costituenti il PGT vigente:</w:t>
      </w:r>
    </w:p>
    <w:p w14:paraId="215ED103" w14:textId="3EE61B2C" w:rsidR="002025F5" w:rsidRPr="002025F5" w:rsidRDefault="002025F5" w:rsidP="002025F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25F5">
        <w:rPr>
          <w:rFonts w:asciiTheme="minorHAnsi" w:hAnsiTheme="minorHAnsi" w:cstheme="minorHAnsi"/>
          <w:b/>
          <w:bCs/>
          <w:sz w:val="24"/>
          <w:szCs w:val="24"/>
          <w:u w:val="single"/>
        </w:rPr>
        <w:t>Documento di Piano:</w:t>
      </w:r>
    </w:p>
    <w:p w14:paraId="07F2E6A2" w14:textId="2B32D391" w:rsidR="00063E4F" w:rsidRDefault="00063E4F" w:rsidP="002025F5">
      <w:pPr>
        <w:rPr>
          <w:rFonts w:asciiTheme="minorHAnsi" w:hAnsiTheme="minorHAnsi" w:cstheme="minorHAnsi"/>
          <w:sz w:val="24"/>
          <w:szCs w:val="24"/>
        </w:rPr>
      </w:pPr>
      <w:r w:rsidRPr="00063E4F">
        <w:rPr>
          <w:rFonts w:asciiTheme="minorHAnsi" w:hAnsiTheme="minorHAnsi" w:cstheme="minorHAnsi"/>
          <w:sz w:val="24"/>
          <w:szCs w:val="24"/>
        </w:rPr>
        <w:t>DP-01 - Relazione illustrativa</w:t>
      </w:r>
      <w:r w:rsidR="000B2C2E">
        <w:rPr>
          <w:rFonts w:asciiTheme="minorHAnsi" w:hAnsiTheme="minorHAnsi" w:cstheme="minorHAnsi"/>
          <w:sz w:val="24"/>
          <w:szCs w:val="24"/>
        </w:rPr>
        <w:t>_</w:t>
      </w:r>
      <w:r w:rsidRPr="00063E4F">
        <w:rPr>
          <w:rFonts w:asciiTheme="minorHAnsi" w:hAnsiTheme="minorHAnsi" w:cstheme="minorHAnsi"/>
          <w:sz w:val="24"/>
          <w:szCs w:val="24"/>
        </w:rPr>
        <w:t>Corr Err Mat_Nov2022</w:t>
      </w:r>
    </w:p>
    <w:p w14:paraId="51925AE8" w14:textId="351721AF" w:rsidR="00063E4F" w:rsidRDefault="00063E4F" w:rsidP="002025F5">
      <w:pPr>
        <w:rPr>
          <w:rFonts w:asciiTheme="minorHAnsi" w:hAnsiTheme="minorHAnsi" w:cstheme="minorHAnsi"/>
          <w:sz w:val="24"/>
          <w:szCs w:val="24"/>
        </w:rPr>
      </w:pPr>
      <w:r w:rsidRPr="00063E4F">
        <w:rPr>
          <w:rFonts w:asciiTheme="minorHAnsi" w:hAnsiTheme="minorHAnsi" w:cstheme="minorHAnsi"/>
          <w:sz w:val="24"/>
          <w:szCs w:val="24"/>
        </w:rPr>
        <w:t>DP-02 - Vincoli ed em</w:t>
      </w:r>
      <w:r>
        <w:rPr>
          <w:rFonts w:asciiTheme="minorHAnsi" w:hAnsiTheme="minorHAnsi" w:cstheme="minorHAnsi"/>
          <w:sz w:val="24"/>
          <w:szCs w:val="24"/>
        </w:rPr>
        <w:t xml:space="preserve">ergenze </w:t>
      </w:r>
      <w:r w:rsidRPr="00063E4F">
        <w:rPr>
          <w:rFonts w:asciiTheme="minorHAnsi" w:hAnsiTheme="minorHAnsi" w:cstheme="minorHAnsi"/>
          <w:sz w:val="24"/>
          <w:szCs w:val="24"/>
        </w:rPr>
        <w:t>paesaggistich</w:t>
      </w:r>
      <w:r>
        <w:rPr>
          <w:rFonts w:asciiTheme="minorHAnsi" w:hAnsiTheme="minorHAnsi" w:cstheme="minorHAnsi"/>
          <w:sz w:val="24"/>
          <w:szCs w:val="24"/>
        </w:rPr>
        <w:t>e</w:t>
      </w:r>
      <w:r w:rsidR="000B2C2E">
        <w:rPr>
          <w:rFonts w:asciiTheme="minorHAnsi" w:hAnsiTheme="minorHAnsi" w:cstheme="minorHAnsi"/>
          <w:sz w:val="24"/>
          <w:szCs w:val="24"/>
        </w:rPr>
        <w:t>_</w:t>
      </w:r>
      <w:r w:rsidRPr="00063E4F">
        <w:rPr>
          <w:rFonts w:asciiTheme="minorHAnsi" w:hAnsiTheme="minorHAnsi" w:cstheme="minorHAnsi"/>
          <w:sz w:val="24"/>
          <w:szCs w:val="24"/>
        </w:rPr>
        <w:t>Corr Err Mat_Nov2022</w:t>
      </w:r>
    </w:p>
    <w:p w14:paraId="64434A6B" w14:textId="58A1C869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DP-03: Sensibilità Paesistica</w:t>
      </w:r>
    </w:p>
    <w:p w14:paraId="4B274985" w14:textId="27688B74" w:rsidR="00063E4F" w:rsidRDefault="00063E4F" w:rsidP="002025F5">
      <w:pPr>
        <w:rPr>
          <w:rFonts w:asciiTheme="minorHAnsi" w:hAnsiTheme="minorHAnsi" w:cstheme="minorHAnsi"/>
          <w:sz w:val="24"/>
          <w:szCs w:val="24"/>
        </w:rPr>
      </w:pPr>
      <w:r w:rsidRPr="00063E4F">
        <w:rPr>
          <w:rFonts w:asciiTheme="minorHAnsi" w:hAnsiTheme="minorHAnsi" w:cstheme="minorHAnsi"/>
          <w:sz w:val="24"/>
          <w:szCs w:val="24"/>
        </w:rPr>
        <w:t>DP-04 - Ambiti di Trasformazione</w:t>
      </w:r>
      <w:r w:rsidR="000B2C2E">
        <w:rPr>
          <w:rFonts w:asciiTheme="minorHAnsi" w:hAnsiTheme="minorHAnsi" w:cstheme="minorHAnsi"/>
          <w:sz w:val="24"/>
          <w:szCs w:val="24"/>
        </w:rPr>
        <w:t>_</w:t>
      </w:r>
      <w:r w:rsidRPr="00063E4F">
        <w:rPr>
          <w:rFonts w:asciiTheme="minorHAnsi" w:hAnsiTheme="minorHAnsi" w:cstheme="minorHAnsi"/>
          <w:sz w:val="24"/>
          <w:szCs w:val="24"/>
        </w:rPr>
        <w:t>Var parz 2018</w:t>
      </w:r>
    </w:p>
    <w:p w14:paraId="16F0118D" w14:textId="5F3553A9" w:rsidR="000B2C2E" w:rsidRDefault="000B2C2E" w:rsidP="002025F5">
      <w:pPr>
        <w:rPr>
          <w:rFonts w:asciiTheme="minorHAnsi" w:hAnsiTheme="minorHAnsi" w:cstheme="minorHAnsi"/>
          <w:sz w:val="24"/>
          <w:szCs w:val="24"/>
        </w:rPr>
      </w:pPr>
      <w:r w:rsidRPr="000B2C2E">
        <w:rPr>
          <w:rFonts w:asciiTheme="minorHAnsi" w:hAnsiTheme="minorHAnsi" w:cstheme="minorHAnsi"/>
          <w:sz w:val="24"/>
          <w:szCs w:val="24"/>
        </w:rPr>
        <w:t>DP-05 - Schede di att</w:t>
      </w:r>
      <w:r>
        <w:rPr>
          <w:rFonts w:asciiTheme="minorHAnsi" w:hAnsiTheme="minorHAnsi" w:cstheme="minorHAnsi"/>
          <w:sz w:val="24"/>
          <w:szCs w:val="24"/>
        </w:rPr>
        <w:t xml:space="preserve">uazione </w:t>
      </w:r>
      <w:r w:rsidRPr="000B2C2E">
        <w:rPr>
          <w:rFonts w:asciiTheme="minorHAnsi" w:hAnsiTheme="minorHAnsi" w:cstheme="minorHAnsi"/>
          <w:sz w:val="24"/>
          <w:szCs w:val="24"/>
        </w:rPr>
        <w:t>ambiti</w:t>
      </w:r>
      <w:r>
        <w:rPr>
          <w:rFonts w:asciiTheme="minorHAnsi" w:hAnsiTheme="minorHAnsi" w:cstheme="minorHAnsi"/>
          <w:sz w:val="24"/>
          <w:szCs w:val="24"/>
        </w:rPr>
        <w:t xml:space="preserve"> di trasformazione_</w:t>
      </w:r>
      <w:r w:rsidRPr="000B2C2E">
        <w:rPr>
          <w:rFonts w:asciiTheme="minorHAnsi" w:hAnsiTheme="minorHAnsi" w:cstheme="minorHAnsi"/>
          <w:sz w:val="24"/>
          <w:szCs w:val="24"/>
        </w:rPr>
        <w:t>Var parz 2018</w:t>
      </w:r>
    </w:p>
    <w:p w14:paraId="5E1A532E" w14:textId="620C8FA8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DP-06: Rete Ecologica Comunale e Aree non Urbanizzate</w:t>
      </w:r>
    </w:p>
    <w:p w14:paraId="16556ABA" w14:textId="3D80C58F" w:rsidR="002025F5" w:rsidRDefault="000B2C2E" w:rsidP="002025F5">
      <w:pPr>
        <w:rPr>
          <w:rFonts w:asciiTheme="minorHAnsi" w:hAnsiTheme="minorHAnsi" w:cstheme="minorHAnsi"/>
          <w:sz w:val="24"/>
          <w:szCs w:val="24"/>
        </w:rPr>
      </w:pPr>
      <w:r w:rsidRPr="000B2C2E">
        <w:rPr>
          <w:rFonts w:asciiTheme="minorHAnsi" w:hAnsiTheme="minorHAnsi" w:cstheme="minorHAnsi"/>
          <w:sz w:val="24"/>
          <w:szCs w:val="24"/>
        </w:rPr>
        <w:t>DP-07 - Previsioni di Piano_Corr Err Mat_Nov2022</w:t>
      </w:r>
    </w:p>
    <w:p w14:paraId="62729D8A" w14:textId="77777777" w:rsidR="000B2C2E" w:rsidRPr="002025F5" w:rsidRDefault="000B2C2E" w:rsidP="002025F5">
      <w:pPr>
        <w:rPr>
          <w:rFonts w:asciiTheme="minorHAnsi" w:hAnsiTheme="minorHAnsi" w:cstheme="minorHAnsi"/>
          <w:sz w:val="24"/>
          <w:szCs w:val="24"/>
        </w:rPr>
      </w:pPr>
    </w:p>
    <w:p w14:paraId="20B8C9C6" w14:textId="2E4C0F62" w:rsidR="002025F5" w:rsidRPr="002025F5" w:rsidRDefault="002025F5" w:rsidP="002025F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25F5">
        <w:rPr>
          <w:rFonts w:asciiTheme="minorHAnsi" w:hAnsiTheme="minorHAnsi" w:cstheme="minorHAnsi"/>
          <w:b/>
          <w:bCs/>
          <w:sz w:val="24"/>
          <w:szCs w:val="24"/>
          <w:u w:val="single"/>
        </w:rPr>
        <w:t>Piano delle Regole:</w:t>
      </w:r>
    </w:p>
    <w:p w14:paraId="6C216F7E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PR-01: Norme Tecniche di Attuazione</w:t>
      </w:r>
    </w:p>
    <w:p w14:paraId="26325AED" w14:textId="77777777" w:rsidR="000B2C2E" w:rsidRDefault="000B2C2E" w:rsidP="002025F5">
      <w:pPr>
        <w:rPr>
          <w:rFonts w:asciiTheme="minorHAnsi" w:hAnsiTheme="minorHAnsi" w:cstheme="minorHAnsi"/>
          <w:sz w:val="24"/>
          <w:szCs w:val="24"/>
        </w:rPr>
      </w:pPr>
      <w:r w:rsidRPr="000B2C2E">
        <w:rPr>
          <w:rFonts w:asciiTheme="minorHAnsi" w:hAnsiTheme="minorHAnsi" w:cstheme="minorHAnsi"/>
          <w:sz w:val="24"/>
          <w:szCs w:val="24"/>
        </w:rPr>
        <w:t>PR-02 - Azzonamento_Corr Err Mat_Nov2022</w:t>
      </w:r>
    </w:p>
    <w:p w14:paraId="157A6280" w14:textId="69EF6973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PR-03: Ambiti di Riqualificazione e di Rigenerazione Urbana</w:t>
      </w:r>
      <w:r w:rsidR="000B2C2E" w:rsidRPr="000B2C2E">
        <w:rPr>
          <w:rFonts w:asciiTheme="minorHAnsi" w:hAnsiTheme="minorHAnsi" w:cstheme="minorHAnsi"/>
          <w:sz w:val="24"/>
          <w:szCs w:val="24"/>
        </w:rPr>
        <w:t>_Corr Err Mat_Nov2022</w:t>
      </w:r>
    </w:p>
    <w:p w14:paraId="13218F63" w14:textId="644F34D6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PR-04: Schede di attuazione degli Ambiti di Riqual e di Rigen Urbana</w:t>
      </w:r>
      <w:r w:rsidR="006D7398" w:rsidRPr="000B2C2E">
        <w:rPr>
          <w:rFonts w:asciiTheme="minorHAnsi" w:hAnsiTheme="minorHAnsi" w:cstheme="minorHAnsi"/>
          <w:sz w:val="24"/>
          <w:szCs w:val="24"/>
        </w:rPr>
        <w:t>_Corr Err Mat_Nov2022</w:t>
      </w:r>
    </w:p>
    <w:p w14:paraId="09867600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PR-05: Nuclei di Antica Formazione</w:t>
      </w:r>
    </w:p>
    <w:p w14:paraId="066997D9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PR-06: Schede tecniche dei Nuclei di Antica Formazione</w:t>
      </w:r>
    </w:p>
    <w:p w14:paraId="1BF31C01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PR-07: Consumo di Suolo</w:t>
      </w:r>
    </w:p>
    <w:p w14:paraId="5886005E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PR-08: Consumo di suolo - ai sensi dell'allegato A del vigente PTCP della Provincia di Monza e</w:t>
      </w:r>
    </w:p>
    <w:p w14:paraId="27C90438" w14:textId="77777777" w:rsid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Brianza</w:t>
      </w:r>
    </w:p>
    <w:p w14:paraId="3C30ED5F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</w:p>
    <w:p w14:paraId="65B3ABA9" w14:textId="1DD1280E" w:rsidR="002025F5" w:rsidRPr="002025F5" w:rsidRDefault="002025F5" w:rsidP="002025F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25F5">
        <w:rPr>
          <w:rFonts w:asciiTheme="minorHAnsi" w:hAnsiTheme="minorHAnsi" w:cstheme="minorHAnsi"/>
          <w:b/>
          <w:bCs/>
          <w:sz w:val="24"/>
          <w:szCs w:val="24"/>
          <w:u w:val="single"/>
        </w:rPr>
        <w:t>Piano dei Servizi:</w:t>
      </w:r>
    </w:p>
    <w:p w14:paraId="38CD7200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PS-01: Relazione illustrativa</w:t>
      </w:r>
    </w:p>
    <w:p w14:paraId="3C9B2A4A" w14:textId="4DAAE589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PS-02: Schede di rilievo dei servizi esistenti e di progetto</w:t>
      </w:r>
      <w:r w:rsidR="006D7398" w:rsidRPr="000B2C2E">
        <w:rPr>
          <w:rFonts w:asciiTheme="minorHAnsi" w:hAnsiTheme="minorHAnsi" w:cstheme="minorHAnsi"/>
          <w:sz w:val="24"/>
          <w:szCs w:val="24"/>
        </w:rPr>
        <w:t>_Corr Err Mat_Nov2022</w:t>
      </w:r>
    </w:p>
    <w:p w14:paraId="27B22CE1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PS-03: Norme tecniche di attuazione</w:t>
      </w:r>
    </w:p>
    <w:p w14:paraId="79707EF7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PS-04: Servizi esistenti</w:t>
      </w:r>
    </w:p>
    <w:p w14:paraId="6BC3B1A7" w14:textId="77777777" w:rsid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PS-05: Servizi di progetto</w:t>
      </w:r>
    </w:p>
    <w:p w14:paraId="50F4C2AB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</w:p>
    <w:p w14:paraId="041E1249" w14:textId="4094E61F" w:rsid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Sono parte integrante dello strumento urbanistico vigente anche i seguenti studi allegati:</w:t>
      </w:r>
    </w:p>
    <w:p w14:paraId="45D431ED" w14:textId="77777777" w:rsid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</w:p>
    <w:p w14:paraId="4D835179" w14:textId="2545DC38" w:rsidR="002025F5" w:rsidRPr="002025F5" w:rsidRDefault="002025F5" w:rsidP="002025F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25F5">
        <w:rPr>
          <w:rFonts w:asciiTheme="minorHAnsi" w:hAnsiTheme="minorHAnsi" w:cstheme="minorHAnsi"/>
          <w:b/>
          <w:bCs/>
          <w:sz w:val="24"/>
          <w:szCs w:val="24"/>
          <w:u w:val="single"/>
        </w:rPr>
        <w:t>Componente Geologica, Idreogeologica e Sismica:</w:t>
      </w:r>
    </w:p>
    <w:p w14:paraId="41D967E6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TAV. 1: Inquadramento Geologico</w:t>
      </w:r>
    </w:p>
    <w:p w14:paraId="4C73AD55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TAV. 2: Elementi di Geotecnica e Degrado dei Terreni</w:t>
      </w:r>
    </w:p>
    <w:p w14:paraId="0CCD7A5C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TAV. 3: Idrogeologia</w:t>
      </w:r>
    </w:p>
    <w:p w14:paraId="41DBE527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TAV. 4: Pericolosità Idraulica</w:t>
      </w:r>
    </w:p>
    <w:p w14:paraId="2BF2D8D1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TAV. 5: Pericolosità Sismica Locale</w:t>
      </w:r>
    </w:p>
    <w:p w14:paraId="7C370250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TAV. 6: Vincoli Geologici</w:t>
      </w:r>
    </w:p>
    <w:p w14:paraId="65609F10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lastRenderedPageBreak/>
        <w:t>TAV. 7:Sintesi degli elementi di Pericolosità/Vulnerabilità</w:t>
      </w:r>
    </w:p>
    <w:p w14:paraId="46C30726" w14:textId="77777777" w:rsid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TAV. 8: Fattibilità Geologica</w:t>
      </w:r>
    </w:p>
    <w:p w14:paraId="42F60A95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Studio della componente geologica idrogeologica e sismica del Piano di Governo del Territorio</w:t>
      </w:r>
    </w:p>
    <w:p w14:paraId="7400BE6F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DOC. 9:Dati di sottosuolo (cantieri da 1 a 45)</w:t>
      </w:r>
    </w:p>
    <w:p w14:paraId="5B968D07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Dati di sottosuolo (cantieri da 46 a 96)</w:t>
      </w:r>
    </w:p>
    <w:p w14:paraId="39AD242E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DOC. 10: Schede pozzi e stratigrafie</w:t>
      </w:r>
    </w:p>
    <w:p w14:paraId="4251BBFF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DOC. 11: Analisi acque sotterranee</w:t>
      </w:r>
    </w:p>
    <w:p w14:paraId="54A603D2" w14:textId="77777777" w:rsid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DOC. 12: Norme di fattibilità geologica</w:t>
      </w:r>
    </w:p>
    <w:p w14:paraId="5A05DF7C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</w:p>
    <w:p w14:paraId="7FED757D" w14:textId="0682F3C0" w:rsidR="002025F5" w:rsidRPr="002025F5" w:rsidRDefault="002025F5" w:rsidP="002025F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25F5">
        <w:rPr>
          <w:rFonts w:asciiTheme="minorHAnsi" w:hAnsiTheme="minorHAnsi" w:cstheme="minorHAnsi"/>
          <w:b/>
          <w:bCs/>
          <w:sz w:val="24"/>
          <w:szCs w:val="24"/>
          <w:u w:val="single"/>
        </w:rPr>
        <w:t>Documento di Polizia Idraulica (ai sensi della D.G.R. N. X/883 DEL 31 OTTOBRE 2013):</w:t>
      </w:r>
    </w:p>
    <w:p w14:paraId="53C13352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Elaborato Tecnico</w:t>
      </w:r>
    </w:p>
    <w:p w14:paraId="35DAB4D2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TAV. 1: Planimetria Generale</w:t>
      </w:r>
    </w:p>
    <w:p w14:paraId="2257A293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TAV. 2A: Reticolo Idrico Principale</w:t>
      </w:r>
    </w:p>
    <w:p w14:paraId="1704A36B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TAV. 2B: Reticolo del Consorzio di Bonifica Est Ticino – Villoresi</w:t>
      </w:r>
    </w:p>
    <w:p w14:paraId="27FDF453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TAV. 2C: Reticolo Idrico Minore</w:t>
      </w:r>
    </w:p>
    <w:p w14:paraId="5492CD52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TAV. 3: Reticolo da Sdemanializzare</w:t>
      </w:r>
    </w:p>
    <w:p w14:paraId="1EDBB355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TAV. 4: Sovrapposizione tra cartografia e mappa catastale</w:t>
      </w:r>
    </w:p>
    <w:p w14:paraId="6D7B96F9" w14:textId="77777777" w:rsid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Elaborato Normativo</w:t>
      </w:r>
    </w:p>
    <w:p w14:paraId="3982152A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</w:p>
    <w:p w14:paraId="25BEBE21" w14:textId="77777777" w:rsidR="002025F5" w:rsidRPr="002025F5" w:rsidRDefault="002025F5" w:rsidP="002025F5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2025F5">
        <w:rPr>
          <w:rFonts w:asciiTheme="minorHAnsi" w:hAnsiTheme="minorHAnsi" w:cstheme="minorHAnsi"/>
          <w:b/>
          <w:bCs/>
          <w:sz w:val="24"/>
          <w:szCs w:val="24"/>
          <w:u w:val="single"/>
        </w:rPr>
        <w:t>Piano Urbano Generale dei Servizi del Sottosuolo – PUGSS</w:t>
      </w:r>
    </w:p>
    <w:p w14:paraId="0EDB0030" w14:textId="11DC7EEB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ad integrazione del Piano dei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025F5">
        <w:rPr>
          <w:rFonts w:asciiTheme="minorHAnsi" w:hAnsiTheme="minorHAnsi" w:cstheme="minorHAnsi"/>
          <w:sz w:val="24"/>
          <w:szCs w:val="24"/>
        </w:rPr>
        <w:t>Servizi, ai sensi dell’art. 9, comma 8, della l.r. n. 12/2005 e s.m.i.:</w:t>
      </w:r>
    </w:p>
    <w:p w14:paraId="02A2DDF3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PUGSS – 01: Rete Acquedotto</w:t>
      </w:r>
    </w:p>
    <w:p w14:paraId="3D2962B5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PUGSS – 02: Rete Fognaria</w:t>
      </w:r>
    </w:p>
    <w:p w14:paraId="77BC92C5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PUGSS – 03: Rete Telecom</w:t>
      </w:r>
    </w:p>
    <w:p w14:paraId="18577852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PUGSS – 04: Rete Wind</w:t>
      </w:r>
    </w:p>
    <w:p w14:paraId="6EAF92DD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PUGSS – 05: Rete Gas</w:t>
      </w:r>
    </w:p>
    <w:p w14:paraId="60A22783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PUGSS – 06: Rete Elettrodotti</w:t>
      </w:r>
    </w:p>
    <w:p w14:paraId="47D2B6EA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PUGSS – 07: Rete Enel</w:t>
      </w:r>
    </w:p>
    <w:p w14:paraId="79BFFF2E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PUGSS – 08: Rete A2A</w:t>
      </w:r>
    </w:p>
    <w:p w14:paraId="55AD6F30" w14:textId="77777777" w:rsidR="002025F5" w:rsidRPr="002025F5" w:rsidRDefault="002025F5" w:rsidP="002025F5">
      <w:pPr>
        <w:rPr>
          <w:rFonts w:asciiTheme="minorHAnsi" w:hAnsiTheme="minorHAnsi" w:cstheme="minorHAnsi"/>
          <w:sz w:val="24"/>
          <w:szCs w:val="24"/>
        </w:rPr>
      </w:pPr>
      <w:r w:rsidRPr="002025F5">
        <w:rPr>
          <w:rFonts w:asciiTheme="minorHAnsi" w:hAnsiTheme="minorHAnsi" w:cstheme="minorHAnsi"/>
          <w:sz w:val="24"/>
          <w:szCs w:val="24"/>
        </w:rPr>
        <w:t>PUGSS – 09: Illuminazione Pubblica</w:t>
      </w:r>
    </w:p>
    <w:p w14:paraId="59F2FC5F" w14:textId="0B40658E" w:rsidR="002025F5" w:rsidRDefault="002025F5" w:rsidP="002025F5">
      <w:pPr>
        <w:rPr>
          <w:rFonts w:asciiTheme="minorHAnsi" w:hAnsiTheme="minorHAnsi" w:cstheme="minorHAnsi"/>
          <w:sz w:val="24"/>
          <w:szCs w:val="24"/>
          <w:highlight w:val="yellow"/>
        </w:rPr>
      </w:pPr>
      <w:r w:rsidRPr="002025F5">
        <w:rPr>
          <w:rFonts w:asciiTheme="minorHAnsi" w:hAnsiTheme="minorHAnsi" w:cstheme="minorHAnsi"/>
          <w:sz w:val="24"/>
          <w:szCs w:val="24"/>
        </w:rPr>
        <w:t>PUGSS – Relazione 2015</w:t>
      </w:r>
      <w:r w:rsidRPr="002025F5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sz w:val="24"/>
          <w:szCs w:val="24"/>
          <w:highlight w:val="yellow"/>
        </w:rPr>
        <w:br w:type="page"/>
      </w:r>
    </w:p>
    <w:p w14:paraId="6B2DA21E" w14:textId="1D262C37" w:rsidR="000532AA" w:rsidRDefault="000532AA" w:rsidP="004C76E3">
      <w:pPr>
        <w:pStyle w:val="Paragrafoelenco"/>
        <w:numPr>
          <w:ilvl w:val="0"/>
          <w:numId w:val="20"/>
        </w:numPr>
        <w:spacing w:before="100" w:beforeAutospacing="1" w:after="100" w:afterAutospacing="1"/>
        <w:ind w:left="426" w:hanging="426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  <w:r w:rsidRPr="004C76E3">
        <w:rPr>
          <w:rFonts w:asciiTheme="minorHAnsi" w:hAnsiTheme="minorHAnsi" w:cstheme="minorHAnsi"/>
          <w:b/>
          <w:bCs/>
          <w:kern w:val="36"/>
          <w:sz w:val="36"/>
          <w:szCs w:val="36"/>
        </w:rPr>
        <w:lastRenderedPageBreak/>
        <w:t>Variante PGT 2023</w:t>
      </w:r>
    </w:p>
    <w:p w14:paraId="73956BEE" w14:textId="77777777" w:rsidR="00A73749" w:rsidRPr="004C76E3" w:rsidRDefault="00A73749" w:rsidP="00A73749">
      <w:pPr>
        <w:pStyle w:val="Paragrafoelenco"/>
        <w:spacing w:before="100" w:beforeAutospacing="1" w:after="100" w:afterAutospacing="1"/>
        <w:ind w:left="426"/>
        <w:jc w:val="both"/>
        <w:rPr>
          <w:rFonts w:asciiTheme="minorHAnsi" w:hAnsiTheme="minorHAnsi" w:cstheme="minorHAnsi"/>
          <w:b/>
          <w:bCs/>
          <w:kern w:val="36"/>
          <w:sz w:val="36"/>
          <w:szCs w:val="36"/>
        </w:rPr>
      </w:pPr>
    </w:p>
    <w:p w14:paraId="1D8D0D65" w14:textId="77777777" w:rsidR="000532AA" w:rsidRPr="004C76E3" w:rsidRDefault="000532AA" w:rsidP="004C76E3">
      <w:pPr>
        <w:pStyle w:val="Paragrafoelenco"/>
        <w:numPr>
          <w:ilvl w:val="0"/>
          <w:numId w:val="22"/>
        </w:numPr>
        <w:spacing w:before="100" w:beforeAutospacing="1" w:after="100" w:afterAutospacing="1"/>
        <w:ind w:left="567" w:hanging="141"/>
        <w:jc w:val="both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  <w:r w:rsidRPr="004C76E3">
        <w:rPr>
          <w:rFonts w:asciiTheme="minorHAnsi" w:hAnsiTheme="minorHAnsi" w:cstheme="minorHAnsi"/>
          <w:b/>
          <w:bCs/>
          <w:kern w:val="36"/>
          <w:sz w:val="28"/>
          <w:szCs w:val="28"/>
        </w:rPr>
        <w:t>Avvio Procedimento</w:t>
      </w:r>
    </w:p>
    <w:p w14:paraId="47479516" w14:textId="2381D62A" w:rsidR="000532AA" w:rsidRPr="00F0553A" w:rsidRDefault="000532AA" w:rsidP="006D7398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F0553A">
        <w:rPr>
          <w:rFonts w:asciiTheme="minorHAnsi" w:hAnsiTheme="minorHAnsi" w:cstheme="minorHAnsi"/>
          <w:sz w:val="24"/>
          <w:szCs w:val="24"/>
        </w:rPr>
        <w:t xml:space="preserve">La Giunta Comunale, con propria deliberazione </w:t>
      </w:r>
      <w:r w:rsidR="006D7398" w:rsidRPr="00F0553A">
        <w:rPr>
          <w:rFonts w:asciiTheme="minorHAnsi" w:hAnsiTheme="minorHAnsi" w:cstheme="minorHAnsi"/>
          <w:sz w:val="24"/>
          <w:szCs w:val="24"/>
        </w:rPr>
        <w:t xml:space="preserve">n. </w:t>
      </w:r>
      <w:r w:rsidR="006D7398">
        <w:rPr>
          <w:rFonts w:asciiTheme="minorHAnsi" w:hAnsiTheme="minorHAnsi" w:cstheme="minorHAnsi"/>
          <w:sz w:val="24"/>
          <w:szCs w:val="24"/>
        </w:rPr>
        <w:t xml:space="preserve">212 </w:t>
      </w:r>
      <w:r w:rsidR="006D7398" w:rsidRPr="00F0553A">
        <w:rPr>
          <w:rFonts w:asciiTheme="minorHAnsi" w:hAnsiTheme="minorHAnsi" w:cstheme="minorHAnsi"/>
          <w:sz w:val="24"/>
          <w:szCs w:val="24"/>
        </w:rPr>
        <w:t xml:space="preserve">del </w:t>
      </w:r>
      <w:r w:rsidR="006D7398">
        <w:rPr>
          <w:rFonts w:asciiTheme="minorHAnsi" w:hAnsiTheme="minorHAnsi" w:cstheme="minorHAnsi"/>
          <w:sz w:val="24"/>
          <w:szCs w:val="24"/>
        </w:rPr>
        <w:t>9</w:t>
      </w:r>
      <w:r w:rsidR="006D7398" w:rsidRPr="00F0553A">
        <w:rPr>
          <w:rFonts w:asciiTheme="minorHAnsi" w:hAnsiTheme="minorHAnsi" w:cstheme="minorHAnsi"/>
          <w:sz w:val="24"/>
          <w:szCs w:val="24"/>
        </w:rPr>
        <w:t xml:space="preserve"> </w:t>
      </w:r>
      <w:r w:rsidR="006D7398">
        <w:rPr>
          <w:rFonts w:asciiTheme="minorHAnsi" w:hAnsiTheme="minorHAnsi" w:cstheme="minorHAnsi"/>
          <w:sz w:val="24"/>
          <w:szCs w:val="24"/>
        </w:rPr>
        <w:t xml:space="preserve">novembre </w:t>
      </w:r>
      <w:r w:rsidR="006D7398" w:rsidRPr="00F0553A">
        <w:rPr>
          <w:rFonts w:asciiTheme="minorHAnsi" w:hAnsiTheme="minorHAnsi" w:cstheme="minorHAnsi"/>
          <w:sz w:val="24"/>
          <w:szCs w:val="24"/>
        </w:rPr>
        <w:t>2023</w:t>
      </w:r>
      <w:r w:rsidRPr="00F0553A">
        <w:rPr>
          <w:rFonts w:asciiTheme="minorHAnsi" w:hAnsiTheme="minorHAnsi" w:cstheme="minorHAnsi"/>
          <w:sz w:val="24"/>
          <w:szCs w:val="24"/>
        </w:rPr>
        <w:t>, ha avviato il procedimento di Variante al vigente Piano di Governo del Territorio (PGT) unitamente alla relativo procedimento di Valutazione Ambientale Strategica (VAS).</w:t>
      </w:r>
    </w:p>
    <w:p w14:paraId="616E41E5" w14:textId="6A471D6E" w:rsidR="006D7398" w:rsidRPr="00A73749" w:rsidRDefault="006D7398" w:rsidP="00A73749">
      <w:pPr>
        <w:pStyle w:val="Paragrafoelenco"/>
        <w:numPr>
          <w:ilvl w:val="1"/>
          <w:numId w:val="11"/>
        </w:numPr>
        <w:spacing w:before="100" w:beforeAutospacing="1" w:after="100" w:afterAutospacing="1"/>
        <w:ind w:left="993" w:hanging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73749">
        <w:rPr>
          <w:rFonts w:asciiTheme="minorHAnsi" w:hAnsiTheme="minorHAnsi" w:cstheme="minorHAnsi"/>
          <w:sz w:val="24"/>
          <w:szCs w:val="24"/>
          <w:u w:val="single"/>
        </w:rPr>
        <w:t xml:space="preserve">Deliberazione di Giunta Comunale n. 212 del 09/11/2023 </w:t>
      </w:r>
    </w:p>
    <w:p w14:paraId="2ADCF3F5" w14:textId="1E15CC9E" w:rsidR="000532AA" w:rsidRPr="00A73749" w:rsidRDefault="006D7398" w:rsidP="00A73749">
      <w:pPr>
        <w:pStyle w:val="Paragrafoelenco"/>
        <w:numPr>
          <w:ilvl w:val="1"/>
          <w:numId w:val="11"/>
        </w:numPr>
        <w:spacing w:before="100" w:beforeAutospacing="1" w:after="100" w:afterAutospacing="1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A73749">
        <w:rPr>
          <w:rFonts w:asciiTheme="minorHAnsi" w:hAnsiTheme="minorHAnsi" w:cstheme="minorHAnsi"/>
          <w:sz w:val="24"/>
          <w:szCs w:val="24"/>
          <w:u w:val="single"/>
        </w:rPr>
        <w:t>Avviso pubblico di avvio al Procedimento</w:t>
      </w:r>
    </w:p>
    <w:p w14:paraId="51143C7F" w14:textId="77777777" w:rsidR="004C76E3" w:rsidRPr="00927EF4" w:rsidRDefault="004C76E3" w:rsidP="004C76E3">
      <w:pPr>
        <w:pStyle w:val="Paragrafoelenco"/>
        <w:spacing w:before="100" w:beforeAutospacing="1" w:after="100" w:afterAutospacing="1"/>
        <w:jc w:val="both"/>
        <w:outlineLvl w:val="4"/>
        <w:rPr>
          <w:rFonts w:asciiTheme="minorHAnsi" w:hAnsiTheme="minorHAnsi" w:cstheme="minorHAnsi"/>
          <w:b/>
          <w:bCs/>
          <w:sz w:val="20"/>
          <w:szCs w:val="20"/>
        </w:rPr>
      </w:pPr>
    </w:p>
    <w:p w14:paraId="25EE30BA" w14:textId="5529C60A" w:rsidR="00297093" w:rsidRPr="00BE0F61" w:rsidRDefault="00297093" w:rsidP="00BE0F61">
      <w:pPr>
        <w:pStyle w:val="Paragrafoelenco"/>
        <w:numPr>
          <w:ilvl w:val="0"/>
          <w:numId w:val="22"/>
        </w:numPr>
        <w:spacing w:before="100" w:beforeAutospacing="1" w:after="100" w:afterAutospacing="1"/>
        <w:ind w:left="567" w:hanging="141"/>
        <w:jc w:val="both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  <w:r w:rsidRPr="00BE0F61">
        <w:rPr>
          <w:rFonts w:asciiTheme="minorHAnsi" w:hAnsiTheme="minorHAnsi" w:cstheme="minorHAnsi"/>
          <w:b/>
          <w:bCs/>
          <w:kern w:val="36"/>
          <w:sz w:val="28"/>
          <w:szCs w:val="28"/>
        </w:rPr>
        <w:t>Linee Guida per la redazione della Variante al PGT</w:t>
      </w:r>
    </w:p>
    <w:p w14:paraId="2DCFEDE2" w14:textId="4C2EE993" w:rsidR="00927EF4" w:rsidRPr="00A73749" w:rsidRDefault="00927EF4" w:rsidP="00A73749">
      <w:pPr>
        <w:pStyle w:val="Paragrafoelenco"/>
        <w:numPr>
          <w:ilvl w:val="1"/>
          <w:numId w:val="11"/>
        </w:numPr>
        <w:spacing w:before="100" w:beforeAutospacing="1" w:after="100" w:afterAutospacing="1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A73749">
        <w:rPr>
          <w:rFonts w:asciiTheme="minorHAnsi" w:hAnsiTheme="minorHAnsi" w:cstheme="minorHAnsi"/>
          <w:sz w:val="24"/>
          <w:szCs w:val="24"/>
          <w:u w:val="single"/>
        </w:rPr>
        <w:t>Deliberazione approvazione Linee Guida Variante Generale PGT</w:t>
      </w:r>
    </w:p>
    <w:p w14:paraId="39F2AC7C" w14:textId="396BB2A8" w:rsidR="00927EF4" w:rsidRPr="00A73749" w:rsidRDefault="00927EF4" w:rsidP="00A73749">
      <w:pPr>
        <w:pStyle w:val="Paragrafoelenco"/>
        <w:numPr>
          <w:ilvl w:val="1"/>
          <w:numId w:val="11"/>
        </w:numPr>
        <w:spacing w:before="100" w:beforeAutospacing="1" w:after="100" w:afterAutospacing="1"/>
        <w:ind w:left="993" w:hanging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73749">
        <w:rPr>
          <w:rFonts w:asciiTheme="minorHAnsi" w:hAnsiTheme="minorHAnsi" w:cstheme="minorHAnsi"/>
          <w:sz w:val="24"/>
          <w:szCs w:val="24"/>
          <w:u w:val="single"/>
        </w:rPr>
        <w:t xml:space="preserve">Linee Guida </w:t>
      </w:r>
    </w:p>
    <w:p w14:paraId="61411ADE" w14:textId="77777777" w:rsidR="00A73749" w:rsidRDefault="00A73749" w:rsidP="00A73749">
      <w:pPr>
        <w:pStyle w:val="Paragrafoelenco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C60DBE8" w14:textId="67F6A54A" w:rsidR="00297093" w:rsidRPr="00A73749" w:rsidRDefault="00297093" w:rsidP="00A73749">
      <w:pPr>
        <w:pStyle w:val="Paragrafoelenco"/>
        <w:numPr>
          <w:ilvl w:val="0"/>
          <w:numId w:val="22"/>
        </w:numPr>
        <w:spacing w:before="100" w:beforeAutospacing="1" w:after="100" w:afterAutospacing="1"/>
        <w:ind w:left="567" w:hanging="141"/>
        <w:jc w:val="both"/>
        <w:rPr>
          <w:rFonts w:asciiTheme="minorHAnsi" w:hAnsiTheme="minorHAnsi" w:cstheme="minorHAnsi"/>
          <w:b/>
          <w:bCs/>
          <w:kern w:val="36"/>
          <w:sz w:val="28"/>
          <w:szCs w:val="28"/>
        </w:rPr>
      </w:pPr>
      <w:r w:rsidRPr="00A73749">
        <w:rPr>
          <w:rFonts w:asciiTheme="minorHAnsi" w:hAnsiTheme="minorHAnsi" w:cstheme="minorHAnsi"/>
          <w:b/>
          <w:bCs/>
          <w:kern w:val="36"/>
          <w:sz w:val="28"/>
          <w:szCs w:val="28"/>
        </w:rPr>
        <w:t>VAS – Valutazione ambientale strategica</w:t>
      </w:r>
    </w:p>
    <w:p w14:paraId="576E5FC9" w14:textId="573C027C" w:rsidR="00297093" w:rsidRPr="00A73749" w:rsidRDefault="00297093" w:rsidP="00A73749">
      <w:pPr>
        <w:pStyle w:val="Paragrafoelenco"/>
        <w:numPr>
          <w:ilvl w:val="1"/>
          <w:numId w:val="11"/>
        </w:numPr>
        <w:spacing w:before="100" w:beforeAutospacing="1" w:after="100" w:afterAutospacing="1"/>
        <w:ind w:left="993" w:hanging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73749">
        <w:rPr>
          <w:rFonts w:asciiTheme="minorHAnsi" w:hAnsiTheme="minorHAnsi" w:cstheme="minorHAnsi"/>
          <w:sz w:val="24"/>
          <w:szCs w:val="24"/>
          <w:u w:val="single"/>
        </w:rPr>
        <w:t>Rapporto di Scoping</w:t>
      </w:r>
    </w:p>
    <w:p w14:paraId="6B376A9B" w14:textId="66575C34" w:rsidR="00297093" w:rsidRPr="00A73749" w:rsidRDefault="00297093" w:rsidP="00A73749">
      <w:pPr>
        <w:pStyle w:val="Paragrafoelenco"/>
        <w:numPr>
          <w:ilvl w:val="1"/>
          <w:numId w:val="11"/>
        </w:numPr>
        <w:spacing w:before="100" w:beforeAutospacing="1" w:after="100" w:afterAutospacing="1"/>
        <w:ind w:left="993" w:hanging="284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A73749">
        <w:rPr>
          <w:rFonts w:asciiTheme="minorHAnsi" w:hAnsiTheme="minorHAnsi" w:cstheme="minorHAnsi"/>
          <w:sz w:val="24"/>
          <w:szCs w:val="24"/>
          <w:u w:val="single"/>
        </w:rPr>
        <w:t>Avviso deposito e conferenza scoping</w:t>
      </w:r>
    </w:p>
    <w:p w14:paraId="1FC53AB3" w14:textId="77777777" w:rsidR="00297093" w:rsidRPr="00297093" w:rsidRDefault="00297093" w:rsidP="00297093">
      <w:pPr>
        <w:spacing w:before="100" w:beforeAutospacing="1" w:after="100" w:afterAutospacing="1"/>
        <w:outlineLvl w:val="4"/>
        <w:rPr>
          <w:rFonts w:asciiTheme="minorHAnsi" w:hAnsiTheme="minorHAnsi" w:cstheme="minorHAnsi"/>
          <w:b/>
          <w:bCs/>
          <w:sz w:val="20"/>
          <w:szCs w:val="20"/>
        </w:rPr>
      </w:pPr>
    </w:p>
    <w:p w14:paraId="01CA6D3B" w14:textId="77777777" w:rsidR="00297093" w:rsidRPr="00297093" w:rsidRDefault="00297093" w:rsidP="00297093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129E293F" w14:textId="77777777" w:rsidR="00927EF4" w:rsidRPr="00927EF4" w:rsidRDefault="00927EF4" w:rsidP="00927EF4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sectPr w:rsidR="00927EF4" w:rsidRPr="00927E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26CF"/>
    <w:multiLevelType w:val="multilevel"/>
    <w:tmpl w:val="1FB8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A2717"/>
    <w:multiLevelType w:val="hybridMultilevel"/>
    <w:tmpl w:val="9B3859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76725"/>
    <w:multiLevelType w:val="hybridMultilevel"/>
    <w:tmpl w:val="681EA030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FF40B4D"/>
    <w:multiLevelType w:val="multilevel"/>
    <w:tmpl w:val="65CA6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10D1D"/>
    <w:multiLevelType w:val="multilevel"/>
    <w:tmpl w:val="A4A25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A7366"/>
    <w:multiLevelType w:val="hybridMultilevel"/>
    <w:tmpl w:val="B5F03E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7783"/>
    <w:multiLevelType w:val="multilevel"/>
    <w:tmpl w:val="5000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A2106"/>
    <w:multiLevelType w:val="multilevel"/>
    <w:tmpl w:val="30CC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E1640"/>
    <w:multiLevelType w:val="hybridMultilevel"/>
    <w:tmpl w:val="68A023FC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8400F39"/>
    <w:multiLevelType w:val="hybridMultilevel"/>
    <w:tmpl w:val="72EE8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E1BB0"/>
    <w:multiLevelType w:val="multilevel"/>
    <w:tmpl w:val="B854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C12A5"/>
    <w:multiLevelType w:val="multilevel"/>
    <w:tmpl w:val="14DE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E356B"/>
    <w:multiLevelType w:val="multilevel"/>
    <w:tmpl w:val="152C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82890"/>
    <w:multiLevelType w:val="hybridMultilevel"/>
    <w:tmpl w:val="F5F200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45F8E"/>
    <w:multiLevelType w:val="multilevel"/>
    <w:tmpl w:val="9D44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9D60B6"/>
    <w:multiLevelType w:val="multilevel"/>
    <w:tmpl w:val="E5D4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386E14"/>
    <w:multiLevelType w:val="multilevel"/>
    <w:tmpl w:val="AE70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73AEC"/>
    <w:multiLevelType w:val="hybridMultilevel"/>
    <w:tmpl w:val="4392A4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C7F89"/>
    <w:multiLevelType w:val="multilevel"/>
    <w:tmpl w:val="DB24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617FF1"/>
    <w:multiLevelType w:val="multilevel"/>
    <w:tmpl w:val="1C540124"/>
    <w:lvl w:ilvl="0">
      <w:start w:val="1"/>
      <w:numFmt w:val="bullet"/>
      <w:lvlText w:val=""/>
      <w:lvlJc w:val="left"/>
      <w:pPr>
        <w:tabs>
          <w:tab w:val="num" w:pos="3545"/>
        </w:tabs>
        <w:ind w:left="3905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C3D7E39"/>
    <w:multiLevelType w:val="hybridMultilevel"/>
    <w:tmpl w:val="64742AD4"/>
    <w:lvl w:ilvl="0" w:tplc="6F5478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C03B20"/>
    <w:multiLevelType w:val="hybridMultilevel"/>
    <w:tmpl w:val="679C60BC"/>
    <w:lvl w:ilvl="0" w:tplc="9F62FB4E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258538">
    <w:abstractNumId w:val="13"/>
  </w:num>
  <w:num w:numId="2" w16cid:durableId="313606319">
    <w:abstractNumId w:val="9"/>
  </w:num>
  <w:num w:numId="3" w16cid:durableId="65960413">
    <w:abstractNumId w:val="21"/>
  </w:num>
  <w:num w:numId="4" w16cid:durableId="88814574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0287818">
    <w:abstractNumId w:val="1"/>
  </w:num>
  <w:num w:numId="6" w16cid:durableId="1815295907">
    <w:abstractNumId w:val="6"/>
  </w:num>
  <w:num w:numId="7" w16cid:durableId="810290757">
    <w:abstractNumId w:val="2"/>
  </w:num>
  <w:num w:numId="8" w16cid:durableId="673537174">
    <w:abstractNumId w:val="16"/>
  </w:num>
  <w:num w:numId="9" w16cid:durableId="699860096">
    <w:abstractNumId w:val="4"/>
  </w:num>
  <w:num w:numId="10" w16cid:durableId="1168442356">
    <w:abstractNumId w:val="11"/>
  </w:num>
  <w:num w:numId="11" w16cid:durableId="254438979">
    <w:abstractNumId w:val="14"/>
  </w:num>
  <w:num w:numId="12" w16cid:durableId="1835296169">
    <w:abstractNumId w:val="15"/>
  </w:num>
  <w:num w:numId="13" w16cid:durableId="330565162">
    <w:abstractNumId w:val="0"/>
  </w:num>
  <w:num w:numId="14" w16cid:durableId="98842640">
    <w:abstractNumId w:val="3"/>
  </w:num>
  <w:num w:numId="15" w16cid:durableId="316107064">
    <w:abstractNumId w:val="18"/>
  </w:num>
  <w:num w:numId="16" w16cid:durableId="1069575469">
    <w:abstractNumId w:val="10"/>
  </w:num>
  <w:num w:numId="17" w16cid:durableId="1648701418">
    <w:abstractNumId w:val="7"/>
  </w:num>
  <w:num w:numId="18" w16cid:durableId="1528447499">
    <w:abstractNumId w:val="12"/>
  </w:num>
  <w:num w:numId="19" w16cid:durableId="1308435628">
    <w:abstractNumId w:val="5"/>
  </w:num>
  <w:num w:numId="20" w16cid:durableId="1320883199">
    <w:abstractNumId w:val="20"/>
  </w:num>
  <w:num w:numId="21" w16cid:durableId="1082678477">
    <w:abstractNumId w:val="17"/>
  </w:num>
  <w:num w:numId="22" w16cid:durableId="6814724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7D"/>
    <w:rsid w:val="000532AA"/>
    <w:rsid w:val="00063E4F"/>
    <w:rsid w:val="000809E3"/>
    <w:rsid w:val="000A2F57"/>
    <w:rsid w:val="000B2C2E"/>
    <w:rsid w:val="0010448B"/>
    <w:rsid w:val="00162A94"/>
    <w:rsid w:val="001B17E9"/>
    <w:rsid w:val="001E79BB"/>
    <w:rsid w:val="002025F5"/>
    <w:rsid w:val="0023094B"/>
    <w:rsid w:val="0024784D"/>
    <w:rsid w:val="002539F4"/>
    <w:rsid w:val="00294604"/>
    <w:rsid w:val="00297093"/>
    <w:rsid w:val="002A0378"/>
    <w:rsid w:val="002A0573"/>
    <w:rsid w:val="002B79D9"/>
    <w:rsid w:val="002D1C5E"/>
    <w:rsid w:val="002F6AA5"/>
    <w:rsid w:val="00327215"/>
    <w:rsid w:val="00335113"/>
    <w:rsid w:val="0035173E"/>
    <w:rsid w:val="00385FA0"/>
    <w:rsid w:val="003954B0"/>
    <w:rsid w:val="003F1A84"/>
    <w:rsid w:val="0045619A"/>
    <w:rsid w:val="00473A14"/>
    <w:rsid w:val="004C76E3"/>
    <w:rsid w:val="005168CF"/>
    <w:rsid w:val="00591327"/>
    <w:rsid w:val="005F7170"/>
    <w:rsid w:val="00626FBD"/>
    <w:rsid w:val="00686B2B"/>
    <w:rsid w:val="00693365"/>
    <w:rsid w:val="006B4C9F"/>
    <w:rsid w:val="006D7398"/>
    <w:rsid w:val="006E0DA2"/>
    <w:rsid w:val="006F1E8D"/>
    <w:rsid w:val="007A2009"/>
    <w:rsid w:val="007D6B4B"/>
    <w:rsid w:val="00890024"/>
    <w:rsid w:val="00912D77"/>
    <w:rsid w:val="00927EF4"/>
    <w:rsid w:val="00962BB7"/>
    <w:rsid w:val="00997CEC"/>
    <w:rsid w:val="009A7200"/>
    <w:rsid w:val="009B610C"/>
    <w:rsid w:val="009C55FD"/>
    <w:rsid w:val="00A077F1"/>
    <w:rsid w:val="00A237AD"/>
    <w:rsid w:val="00A3486F"/>
    <w:rsid w:val="00A4382F"/>
    <w:rsid w:val="00A73749"/>
    <w:rsid w:val="00B80129"/>
    <w:rsid w:val="00BA0E78"/>
    <w:rsid w:val="00BD530F"/>
    <w:rsid w:val="00BE0F61"/>
    <w:rsid w:val="00BE2D5F"/>
    <w:rsid w:val="00C0232C"/>
    <w:rsid w:val="00C033BF"/>
    <w:rsid w:val="00C21D70"/>
    <w:rsid w:val="00CB7B3E"/>
    <w:rsid w:val="00D0676A"/>
    <w:rsid w:val="00D213AB"/>
    <w:rsid w:val="00D57D2E"/>
    <w:rsid w:val="00D668C2"/>
    <w:rsid w:val="00D80D4E"/>
    <w:rsid w:val="00DA0DEB"/>
    <w:rsid w:val="00DA52EE"/>
    <w:rsid w:val="00DE227D"/>
    <w:rsid w:val="00E06891"/>
    <w:rsid w:val="00E16607"/>
    <w:rsid w:val="00E4502B"/>
    <w:rsid w:val="00EA3DF6"/>
    <w:rsid w:val="00ED16CA"/>
    <w:rsid w:val="00ED323C"/>
    <w:rsid w:val="00EE2F47"/>
    <w:rsid w:val="00F0553A"/>
    <w:rsid w:val="00F1762D"/>
    <w:rsid w:val="00F45E5C"/>
    <w:rsid w:val="00F56E3E"/>
    <w:rsid w:val="00F85981"/>
    <w:rsid w:val="00F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5F068"/>
  <w15:chartTrackingRefBased/>
  <w15:docId w15:val="{6EC66635-036F-4E45-B89F-A8CD82C3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it-I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alibri" w:hAnsi="Calibri"/>
      <w:kern w:val="0"/>
      <w:sz w:val="40"/>
      <w:szCs w:val="4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byod">
    <w:name w:val="mbyod"/>
    <w:basedOn w:val="Carpredefinitoparagrafo"/>
    <w:rsid w:val="0045619A"/>
  </w:style>
  <w:style w:type="character" w:styleId="Collegamentoipertestuale">
    <w:name w:val="Hyperlink"/>
    <w:basedOn w:val="Carpredefinitoparagrafo"/>
    <w:rsid w:val="003954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54B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73A1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5168CF"/>
    <w:pPr>
      <w:suppressAutoHyphens/>
      <w:spacing w:before="100"/>
    </w:pPr>
    <w:rPr>
      <w:rFonts w:ascii="Arial Unicode MS" w:eastAsia="Arial Unicode MS" w:hAnsi="Arial Unicode MS" w:cs="Arial Unicode MS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rsid w:val="00B80129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B80129"/>
    <w:rPr>
      <w:kern w:val="0"/>
      <w:sz w:val="24"/>
      <w:szCs w:val="24"/>
      <w14:ligatures w14:val="none"/>
    </w:rPr>
  </w:style>
  <w:style w:type="character" w:styleId="Enfasigrassetto">
    <w:name w:val="Strong"/>
    <w:basedOn w:val="Carpredefinitoparagrafo"/>
    <w:uiPriority w:val="22"/>
    <w:qFormat/>
    <w:rsid w:val="000532AA"/>
    <w:rPr>
      <w:b/>
      <w:bCs/>
    </w:rPr>
  </w:style>
  <w:style w:type="table" w:styleId="Grigliatabella">
    <w:name w:val="Table Grid"/>
    <w:basedOn w:val="Tabellanormale"/>
    <w:rsid w:val="0020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7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5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6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5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7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9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94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8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67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2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66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9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7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7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Teruzzi Carlo</dc:creator>
  <cp:keywords/>
  <dc:description/>
  <cp:lastModifiedBy>Teruzzi Carlo</cp:lastModifiedBy>
  <cp:revision>6</cp:revision>
  <cp:lastPrinted>2025-11-21T09:24:00Z</cp:lastPrinted>
  <dcterms:created xsi:type="dcterms:W3CDTF">2025-11-21T09:15:00Z</dcterms:created>
  <dcterms:modified xsi:type="dcterms:W3CDTF">2025-11-24T08:48:00Z</dcterms:modified>
</cp:coreProperties>
</file>